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268"/>
        <w:gridCol w:w="283"/>
        <w:gridCol w:w="1858"/>
        <w:gridCol w:w="1556"/>
        <w:gridCol w:w="1064"/>
        <w:gridCol w:w="1936"/>
        <w:gridCol w:w="1064"/>
      </w:tblGrid>
      <w:tr w:rsidR="006D627C" w:rsidRPr="006D627C" w:rsidTr="006D627C">
        <w:trPr>
          <w:trHeight w:val="255"/>
        </w:trPr>
        <w:tc>
          <w:tcPr>
            <w:tcW w:w="851" w:type="dxa"/>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Level</w:t>
            </w:r>
          </w:p>
        </w:tc>
        <w:tc>
          <w:tcPr>
            <w:tcW w:w="2268" w:type="dxa"/>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3414" w:type="dxa"/>
            <w:gridSpan w:val="2"/>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Kabupaten Musi Banyu Asin </w:t>
            </w:r>
          </w:p>
        </w:tc>
        <w:tc>
          <w:tcPr>
            <w:tcW w:w="1064" w:type="dxa"/>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1936" w:type="dxa"/>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1064"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3119" w:type="dxa"/>
            <w:gridSpan w:val="2"/>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Komponen</w:t>
            </w:r>
          </w:p>
        </w:tc>
        <w:tc>
          <w:tcPr>
            <w:tcW w:w="283" w:type="dxa"/>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3414" w:type="dxa"/>
            <w:gridSpan w:val="2"/>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Implementasi Kinerja</w:t>
            </w:r>
          </w:p>
        </w:tc>
        <w:tc>
          <w:tcPr>
            <w:tcW w:w="1064" w:type="dxa"/>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1936" w:type="dxa"/>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1064"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851"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2268"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858"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556"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64"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936" w:type="dxa"/>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064"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3402" w:type="dxa"/>
            <w:gridSpan w:val="3"/>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Isu dalam PGA REDD+</w:t>
            </w:r>
          </w:p>
        </w:tc>
        <w:tc>
          <w:tcPr>
            <w:tcW w:w="6414" w:type="dxa"/>
            <w:gridSpan w:val="4"/>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I. Perencanaan Kehutanan dan Tata Ruang </w:t>
            </w:r>
          </w:p>
        </w:tc>
        <w:tc>
          <w:tcPr>
            <w:tcW w:w="1064" w:type="dxa"/>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30"/>
        </w:trPr>
        <w:tc>
          <w:tcPr>
            <w:tcW w:w="3119" w:type="dxa"/>
            <w:gridSpan w:val="2"/>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283" w:type="dxa"/>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a. Tingkat penerimaan (legitimasi) atas dokumen RTRWP/RTRWK/Kehutanan</w:t>
            </w:r>
          </w:p>
        </w:tc>
      </w:tr>
      <w:tr w:rsidR="006D627C" w:rsidRPr="006D627C" w:rsidTr="006D627C">
        <w:trPr>
          <w:trHeight w:val="375"/>
        </w:trPr>
        <w:tc>
          <w:tcPr>
            <w:tcW w:w="3119" w:type="dxa"/>
            <w:gridSpan w:val="2"/>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372"/>
        <w:gridCol w:w="1699"/>
        <w:gridCol w:w="1188"/>
        <w:gridCol w:w="1836"/>
        <w:gridCol w:w="1090"/>
        <w:gridCol w:w="1604"/>
        <w:gridCol w:w="1382"/>
      </w:tblGrid>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21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FIa1</w:t>
            </w:r>
          </w:p>
        </w:tc>
        <w:tc>
          <w:tcPr>
            <w:tcW w:w="13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Bagaimana (tingkat) penerimaan (legitimasi) </w:t>
            </w:r>
            <w:r w:rsidRPr="006D627C">
              <w:rPr>
                <w:rFonts w:ascii="Times New Roman" w:eastAsia="Times New Roman" w:hAnsi="Times New Roman" w:cs="Times New Roman"/>
                <w:i/>
                <w:iCs/>
                <w:color w:val="000000"/>
                <w:sz w:val="20"/>
                <w:szCs w:val="20"/>
                <w:lang w:eastAsia="id-ID"/>
              </w:rPr>
              <w:t xml:space="preserve">stakeholder </w:t>
            </w:r>
            <w:r w:rsidRPr="006D627C">
              <w:rPr>
                <w:rFonts w:ascii="Times New Roman" w:eastAsia="Times New Roman" w:hAnsi="Times New Roman" w:cs="Times New Roman"/>
                <w:color w:val="000000"/>
                <w:sz w:val="20"/>
                <w:szCs w:val="20"/>
                <w:lang w:eastAsia="id-ID"/>
              </w:rPr>
              <w:t>atas dokumen RTRWP/RTRWK/Kehutanan?</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 Perda No 3 tahun 2004 tentang RTRW Kabupaten Musi Banyu Asin.  2). Pencana Pembangunan Jangka Panjang Kabupaten Musi Banyu Asin/Perda No.9 Tahun 2008.</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4</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Peynusunan Tata Ruang Kehutanan di koordinasikan dengan Tata Ruang Kabupaten. Sehingga Desa/lahan usaha masyarakat yang berada dalam kawasan hjutan di keluarkan dari status kawasan hutan agar selaras fungsi dan manfaat kawasan dengan keinginan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4</w:t>
            </w:r>
          </w:p>
        </w:tc>
      </w:tr>
      <w:tr w:rsidR="006D627C" w:rsidRPr="006D627C" w:rsidTr="006D627C">
        <w:trPr>
          <w:trHeight w:val="153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PU</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 Perda No 3 tahun 2004 tentang RTRW Kabupaten Musi Banyu Asin.  2). Pencana Pembangunan Jangka Panjang Kabupaten Musi Banyu Asin/Perda No.9 Tahun 2008.</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4</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Informan tidak ada komentar karena RTRW belum di sahkan. Ada RTRW yang lama, tapi untuk RTRW yang baru informan tidak bisa komentar. </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102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Sampai sekarang RTRW belum disyahkan legislative, ini indikasi rendahnya tingkat penerimaan terhadap RTRW</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Belum ada RT RW yang disahkan. Informan tidak mengetahui tetang penerimaan stakeholder</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Asosiasi </w:t>
            </w:r>
            <w:r w:rsidRPr="006D627C">
              <w:rPr>
                <w:rFonts w:ascii="Times New Roman" w:eastAsia="Times New Roman" w:hAnsi="Times New Roman" w:cs="Times New Roman"/>
                <w:color w:val="000000"/>
                <w:sz w:val="20"/>
                <w:szCs w:val="20"/>
                <w:lang w:eastAsia="id-ID"/>
              </w:rPr>
              <w:lastRenderedPageBreak/>
              <w:t>Pengusaha</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Tidak ada dokumen</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2986" w:type="dxa"/>
            <w:gridSpan w:val="2"/>
            <w:tcBorders>
              <w:top w:val="single" w:sz="4" w:space="0" w:color="auto"/>
              <w:left w:val="nil"/>
              <w:bottom w:val="single" w:sz="4" w:space="0" w:color="auto"/>
              <w:right w:val="single" w:sz="4" w:space="0" w:color="000000"/>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Informan</w:t>
            </w:r>
          </w:p>
        </w:tc>
      </w:tr>
      <w:tr w:rsidR="006D627C" w:rsidRPr="006D627C" w:rsidTr="006D627C">
        <w:trPr>
          <w:trHeight w:val="127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Akademisi</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Jika RTRW itu sudah disyahkan ada stakheholder yang menerima dan ada yang belum menerima. Tahun ini RTRW belum disahkan. (note: opini informan)</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6D627C" w:rsidRPr="006D627C" w:rsidTr="006D627C">
        <w:trPr>
          <w:trHeight w:val="91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Wawancara – 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219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FIb1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luas kawasan hutan yang dikukuhkan dan dite-rima oleh para pihak</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Perda No 3 tahun 2004 tentang RTRW, Perda No 9 Tahun 2008 tentang Rencana Pembangunan Jangka Pangjang Kabupaten MUBA;  Rencana Pengelolaan Kawasan Hutan Rawa Gambut  Merang Kepayan Kecamatan Bayung Lincir. Kabupaten Muba</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Jumlah kawasan hutan yang dikukuhkan telah dibahas dengan para pihak (stakeholders),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4</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Masih ada kasus kehutanan bukti bahwa ada pihak yang menerima dan ada pihak yang belum menerima</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127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mengetahui, sosialisasi tentang ini sangat kurang. Jika sosialisasi benar dan intensif masyarakat akan tahu dan penerimaan akan besar.</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102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Akademisi</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masyarakat taat pada setiap kawasan hutan yang ditetapkan tapi ada </w:t>
            </w:r>
            <w:r w:rsidRPr="006D627C">
              <w:rPr>
                <w:rFonts w:ascii="Times New Roman" w:eastAsia="Times New Roman" w:hAnsi="Times New Roman" w:cs="Times New Roman"/>
                <w:color w:val="000000"/>
                <w:sz w:val="20"/>
                <w:szCs w:val="20"/>
                <w:lang w:eastAsia="id-ID"/>
              </w:rPr>
              <w:lastRenderedPageBreak/>
              <w:t>pendatang yang justru merambah kawasan hutan</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4</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40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6D627C" w:rsidRPr="006D627C" w:rsidTr="006D627C">
        <w:trPr>
          <w:trHeight w:val="84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Wawancara – 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FIc1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 Perda No 3 tahun 2004 tentang RTRW Kabupaten Musi Banyu Asin.  2). Pencana Pembangunan Jangka Panjang Kabupaten Musi Banyu Asin/Perda No.9 Tahun 2008.</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Menurut informan masih ada konflik di beberapa lahan masyarakat yang mengindikasikan bahwa reasasi tata kelola belum tereasilasi 100 %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4</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RTRW belum disyahkan sehingga informan sulit menjawab apakah terakomodir atau tidak,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mengetahui karena RT RW kab belum disahkan</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51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Akademisi</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masyarakat masih menggugat hak mereka</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6D627C" w:rsidRPr="006D627C" w:rsidTr="006D627C">
        <w:trPr>
          <w:trHeight w:val="94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Wawancara – 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530"/>
        </w:trPr>
        <w:tc>
          <w:tcPr>
            <w:tcW w:w="714"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FFFF00"/>
                <w:sz w:val="20"/>
                <w:szCs w:val="20"/>
                <w:lang w:eastAsia="id-ID"/>
              </w:rPr>
            </w:pPr>
            <w:r w:rsidRPr="006D627C">
              <w:rPr>
                <w:rFonts w:ascii="Times New Roman" w:eastAsia="Times New Roman" w:hAnsi="Times New Roman" w:cs="Times New Roman"/>
                <w:color w:val="FFFF00"/>
                <w:sz w:val="20"/>
                <w:szCs w:val="20"/>
                <w:lang w:eastAsia="id-ID"/>
              </w:rPr>
              <w:t> </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Tidak ada dokumen yang spesifik tentang ini, hanya disinggung sedikit dalam perda No 3 tahun 2004 tentang  RTRW , pasal 58 Pemberdayaan Peranserta </w:t>
            </w:r>
            <w:r w:rsidRPr="006D627C">
              <w:rPr>
                <w:rFonts w:ascii="Times New Roman" w:eastAsia="Times New Roman" w:hAnsi="Times New Roman" w:cs="Times New Roman"/>
                <w:color w:val="000000"/>
                <w:sz w:val="20"/>
                <w:szCs w:val="20"/>
                <w:lang w:eastAsia="id-ID"/>
              </w:rPr>
              <w:lastRenderedPageBreak/>
              <w:t>Masyarakt dan tentang sanksi</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Selama 1 tahun terakhir penyelesaian konflik sangat menjadi konsern Bupati  Dishut dengan dukungan Bupati dapat bekerja </w:t>
            </w:r>
            <w:r w:rsidRPr="006D627C">
              <w:rPr>
                <w:rFonts w:ascii="Times New Roman" w:eastAsia="Times New Roman" w:hAnsi="Times New Roman" w:cs="Times New Roman"/>
                <w:color w:val="000000"/>
                <w:sz w:val="20"/>
                <w:szCs w:val="20"/>
                <w:lang w:eastAsia="id-ID"/>
              </w:rPr>
              <w:lastRenderedPageBreak/>
              <w:t xml:space="preserve">optimal memediasi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5</w:t>
            </w:r>
          </w:p>
        </w:tc>
      </w:tr>
      <w:tr w:rsidR="006D627C" w:rsidRPr="006D627C" w:rsidTr="006D627C">
        <w:trPr>
          <w:trHeight w:val="229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FFFF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konflik kawasan yang dapat difasilitasi ada, tetapi penyelesaian dan jumlahnya kurang memadai. Informan memberikan contoh sengketa Masyarakat Babat dengan perusahaaan dapat diselesaikan dengan baik, ada sengketa masyarakat Rantau dengan Perusahan belum tuntas</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102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FFFF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mengetahui jumlah konflik dan pengertian penyelesaianya pertahun. Cara menghitung nya berdasarkan apa?</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102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FFFF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Akademisi</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Informan menunjukan kasus di Ngulak yang belum ada penyelesaian. Hal ini menunjukkan bahwa fasilasi kurang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FId1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Hasil mediasi bisa diterima oleh semua pihak dan dijalankan secara konsisten</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Dari penyelesaian konflik yang dilakukan masih ada masyarakat yang tidak menerima.</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153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Pemda/Bupati pernah memfailitasi konflik masyarakat Babat dengan PT. Hendoli masalah ganti rugi lahan.  Penyelesaiannya </w:t>
            </w:r>
            <w:r w:rsidRPr="006D627C">
              <w:rPr>
                <w:rFonts w:ascii="Times New Roman" w:eastAsia="Times New Roman" w:hAnsi="Times New Roman" w:cs="Times New Roman"/>
                <w:color w:val="000000"/>
                <w:sz w:val="20"/>
                <w:szCs w:val="20"/>
                <w:lang w:eastAsia="id-ID"/>
              </w:rPr>
              <w:lastRenderedPageBreak/>
              <w:t>baik, ada juga permasalahan konflik lahan yang belum selesai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3</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102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Akademisi</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Hasil mediasi tidak diterima oleh semua pihak, buktinya masih ada masyarakat yang tidak menerima penyelesaian yang ditawarkan.</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Isu dalam PGA REDD+</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3024"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II. Pengaturan Hak  </w:t>
            </w:r>
          </w:p>
        </w:tc>
        <w:tc>
          <w:tcPr>
            <w:tcW w:w="1090"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160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p>
        </w:tc>
      </w:tr>
      <w:tr w:rsidR="006D627C" w:rsidRPr="006D627C" w:rsidTr="006D627C">
        <w:trPr>
          <w:trHeight w:val="6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6D627C">
              <w:rPr>
                <w:rFonts w:ascii="Times New Roman" w:eastAsia="Times New Roman" w:hAnsi="Times New Roman" w:cs="Times New Roman"/>
                <w:b/>
                <w:bCs/>
                <w:color w:val="000000"/>
                <w:sz w:val="20"/>
                <w:szCs w:val="20"/>
                <w:lang w:eastAsia="id-ID"/>
              </w:rPr>
              <w:br/>
              <w:t xml:space="preserve">   masyarakat dan bisnis di Kementerian/SKPD </w:t>
            </w:r>
          </w:p>
        </w:tc>
      </w:tr>
      <w:tr w:rsidR="006D627C" w:rsidRPr="006D627C" w:rsidTr="006D627C">
        <w:trPr>
          <w:trHeight w:val="39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 Kementerian/Dinas Kehutanan (Unit Pemberi Izin)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FIIa1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699"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nil"/>
              <w:right w:val="nil"/>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Dalam penyelesaian konflik selalu di mediasi dan menghindari kekerasan dan korban</w:t>
            </w:r>
          </w:p>
        </w:tc>
        <w:tc>
          <w:tcPr>
            <w:tcW w:w="1382" w:type="dxa"/>
            <w:tcBorders>
              <w:top w:val="nil"/>
              <w:left w:val="single" w:sz="4" w:space="0" w:color="auto"/>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5</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6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6D627C">
              <w:rPr>
                <w:rFonts w:ascii="Times New Roman" w:eastAsia="Times New Roman" w:hAnsi="Times New Roman" w:cs="Times New Roman"/>
                <w:b/>
                <w:bCs/>
                <w:color w:val="000000"/>
                <w:sz w:val="20"/>
                <w:szCs w:val="20"/>
                <w:lang w:eastAsia="id-ID"/>
              </w:rPr>
              <w:br/>
              <w:t xml:space="preserve">   masyarakat dan bisnis di Kementerian/SKPD </w:t>
            </w:r>
            <w:r w:rsidRPr="006D627C">
              <w:rPr>
                <w:rFonts w:ascii="Times New Roman" w:eastAsia="Times New Roman" w:hAnsi="Times New Roman" w:cs="Times New Roman"/>
                <w:b/>
                <w:bCs/>
                <w:color w:val="000000"/>
                <w:sz w:val="20"/>
                <w:szCs w:val="20"/>
                <w:lang w:eastAsia="id-ID"/>
              </w:rPr>
              <w:br/>
              <w:t xml:space="preserve"> </w:t>
            </w:r>
          </w:p>
        </w:tc>
      </w:tr>
      <w:tr w:rsidR="006D627C" w:rsidRPr="006D627C" w:rsidTr="006D627C">
        <w:trPr>
          <w:trHeight w:val="6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6D627C">
              <w:rPr>
                <w:rFonts w:ascii="Times New Roman" w:eastAsia="Times New Roman" w:hAnsi="Times New Roman" w:cs="Times New Roman"/>
                <w:b/>
                <w:bCs/>
                <w:color w:val="000000"/>
                <w:sz w:val="20"/>
                <w:szCs w:val="20"/>
                <w:lang w:eastAsia="id-ID"/>
              </w:rPr>
              <w:br/>
              <w:t xml:space="preserve">  Kementerian/Dinas Kehutanan (Unit Pemberi Izin)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FIIb1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699"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nil"/>
              <w:right w:val="nil"/>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Dinas kehutanan memediasi konflik dan penyelesaiannya dalam koridor hokum. Contoh konflik BPP.</w:t>
            </w:r>
          </w:p>
        </w:tc>
        <w:tc>
          <w:tcPr>
            <w:tcW w:w="1382" w:type="dxa"/>
            <w:tcBorders>
              <w:top w:val="nil"/>
              <w:left w:val="single" w:sz="4" w:space="0" w:color="auto"/>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4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c. Jumlah konflik antar sesama penggunaan kawasan hutan </w:t>
            </w:r>
            <w:r w:rsidRPr="006D627C">
              <w:rPr>
                <w:rFonts w:ascii="Times New Roman" w:eastAsia="Times New Roman" w:hAnsi="Times New Roman" w:cs="Times New Roman"/>
                <w:b/>
                <w:bCs/>
                <w:color w:val="000000"/>
                <w:sz w:val="20"/>
                <w:szCs w:val="20"/>
                <w:lang w:eastAsia="id-ID"/>
              </w:rPr>
              <w:br/>
              <w:t xml:space="preserve">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51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FIIc1</w:t>
            </w:r>
          </w:p>
        </w:tc>
        <w:tc>
          <w:tcPr>
            <w:tcW w:w="1372" w:type="dxa"/>
            <w:vMerge w:val="restart"/>
            <w:tcBorders>
              <w:top w:val="nil"/>
              <w:left w:val="single" w:sz="4" w:space="0" w:color="auto"/>
              <w:bottom w:val="single" w:sz="4" w:space="0" w:color="000000"/>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Jumlah konflik antar sesama penggunaan kawasan hutan </w:t>
            </w:r>
          </w:p>
        </w:tc>
        <w:tc>
          <w:tcPr>
            <w:tcW w:w="16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tcBorders>
              <w:top w:val="nil"/>
              <w:left w:val="single" w:sz="4" w:space="0" w:color="auto"/>
              <w:bottom w:val="single" w:sz="4" w:space="0" w:color="000000"/>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000000"/>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000000"/>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Wawancara - 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 Pemerintah (Pusat &amp; Daerah), LSM, AMAN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275"/>
        </w:trPr>
        <w:tc>
          <w:tcPr>
            <w:tcW w:w="714"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praktik terbaik (</w:t>
            </w:r>
            <w:r w:rsidRPr="006D627C">
              <w:rPr>
                <w:rFonts w:ascii="Times New Roman" w:eastAsia="Times New Roman" w:hAnsi="Times New Roman" w:cs="Times New Roman"/>
                <w:i/>
                <w:iCs/>
                <w:color w:val="000000"/>
                <w:sz w:val="20"/>
                <w:szCs w:val="20"/>
                <w:lang w:eastAsia="id-ID"/>
              </w:rPr>
              <w:t>best practices</w:t>
            </w:r>
            <w:r w:rsidRPr="006D627C">
              <w:rPr>
                <w:rFonts w:ascii="Times New Roman" w:eastAsia="Times New Roman" w:hAnsi="Times New Roman" w:cs="Times New Roman"/>
                <w:color w:val="000000"/>
                <w:sz w:val="20"/>
                <w:szCs w:val="20"/>
                <w:lang w:eastAsia="id-ID"/>
              </w:rPr>
              <w:t>) atas resolusi konflik terkait pengakuan hak masyarakat adat/lokal</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Pengalaman terbaik dalam pengakuan hak ada jumlahnya sangat memadai menurut informan. Menurut informan penyelesaian konflik ini sangat didukung bupati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5</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pengalaman terbaik penyelesaian konflik ada tapi jumlahnya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102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Pengalamn terbaik atas resolusi konflik ada, jumlahnya kurang memadai. Buktinya tidak semua konflik diterima semua pihak</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FIId1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Pencegahan kekerasan</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Perda No 3 tahun 2004 Tetang RTRW;  Rencana  Pengelolaan kawasan Hutan Gambut Merang-Kepayang</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Dalam penyelesaian konflik selalu di mediasi dan menghindari kekerasan dan korban</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5</w:t>
            </w:r>
          </w:p>
        </w:tc>
      </w:tr>
      <w:tr w:rsidR="006D627C" w:rsidRPr="006D627C" w:rsidTr="006D627C">
        <w:trPr>
          <w:trHeight w:val="153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Pemda/Bupati pernah memfailitasi konflik masyarakat Babat dengan PT. Hendoli masalah ganti rugi lahan.  Penyelesaiannya baik, ada juga permasalahan konflik lahan yang belum selesai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Ada pihak yang puas dan masih ada juga pihak yang belum puas dengan hasil penyelesaian konflik.</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FIId2</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Penyelesaian konflik</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Perda No 3 tahun 2004 Tetang RTRW;  Rencana  Pengelolaan kawasan Hutan Gambut Merang-Kepayang</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Dinas kehutanan memediasi konflik dan penyelesaiannya dalam koridor hokum. Contoh konflik BPP.</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127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memberi Contoh kasus konflik masayarakat Rantau Panjang dengan PT. Gatri yang belum selesai, prosesnya nya belum ada penyelesain</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Ya, kurang memadai penyelesaiannya karena konflik masih sering terjadi.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FIId3</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Penerimaan para pihak</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Perda No 3 tahun 2004 Tetang RTRW;  Rencana  Pengelolaan kawasan Hutan Gambut Merang-Kepayang</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Dishut melakukan pendekatan persuasive dan memediasi penyelesaian konflik dengan menunjukkan aturan yang berlaku. Kedua pihak yang berkonflik sama-sama diberi penjelasan tentang aturan yang berlaku menurut undang-</w:t>
            </w:r>
            <w:r w:rsidRPr="006D627C">
              <w:rPr>
                <w:rFonts w:ascii="Times New Roman" w:eastAsia="Times New Roman" w:hAnsi="Times New Roman" w:cs="Times New Roman"/>
                <w:color w:val="000000"/>
                <w:sz w:val="20"/>
                <w:szCs w:val="20"/>
                <w:lang w:eastAsia="id-ID"/>
              </w:rPr>
              <w:lastRenderedPageBreak/>
              <w:t>undang</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3</w:t>
            </w:r>
          </w:p>
        </w:tc>
      </w:tr>
      <w:tr w:rsidR="006D627C" w:rsidRPr="006D627C" w:rsidTr="006D627C">
        <w:trPr>
          <w:trHeight w:val="51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Masih ada masyarat yang tidak menerima</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Masih ada pihk yang belum puas dengan penyelesaian yang ditawarkan</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FIId4</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Komitmen tetap dijalankan</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Perda No 3 tahun 2004 Tetang RTRW;  Rencana  Pengelolaan kawasan Hutan Gambut Merang-Kepayang</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Dinas Kehutanan berkomitmen untuk menjadi mediasi setiap konflik yang ada dengan pendekatan persuasive.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5</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eksekusi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mengetahui komitmen pihak-pihak.</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3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6D627C" w:rsidRPr="006D627C" w:rsidTr="006D627C">
        <w:trPr>
          <w:trHeight w:val="25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 Media cetak</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FIIe1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Jurnalis</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Ada 7 berita yang di terkait berita pengakuan hak masyarakat lokal thn 2010-2012</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Menurut informan jumlah pemberitataan tentang hak masyarakat adat sangat kurang. Pernah di beritakan dalam gabungan berita media local seperti sumeks, sripo, dan berita pagi tentang masalah sengketa lahan.</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FIIe2</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Cakupan berita  mengenai pengakuan pejabat atas hak masyarakat adat</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Jurnalis</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Ada 1 berita yang memuat Pembina Adat di MUBA</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Menurut informan belum ada statement pejabat dan pemberitaan tentang itu. Ada statement tingkat bawah , camat atau Kades yang </w:t>
            </w:r>
            <w:r w:rsidRPr="006D627C">
              <w:rPr>
                <w:rFonts w:ascii="Times New Roman" w:eastAsia="Times New Roman" w:hAnsi="Times New Roman" w:cs="Times New Roman"/>
                <w:color w:val="000000"/>
                <w:sz w:val="20"/>
                <w:szCs w:val="20"/>
                <w:lang w:eastAsia="id-ID"/>
              </w:rPr>
              <w:lastRenderedPageBreak/>
              <w:t>di wilayahnya ada hutan contoh: Camat Keluang</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1</w:t>
            </w:r>
          </w:p>
        </w:tc>
      </w:tr>
      <w:tr w:rsidR="006D627C" w:rsidRPr="006D627C" w:rsidTr="006D627C">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FIIe3</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Posisi berita dalam media cetak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Posisi berita dalam media cetak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Jurnalis</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Posisi berita lokal dan bukan headline</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Karena pernyataan dan pemberitaan tidak ada mana informan tidak bisa memberikan kaegori penilaian untu jawaban pertanyaan ini (Pertanyaan Not applicable)</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FIIe4</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Posisi media dalam pemberitaan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Posisi media dalam pemberitaan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Jurnalis</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Beritanya sangat kurang </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bisa memberikan penilian karena beritanya kecil sudah di probbing tetap tidak mau mmeberkan penialai</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3785" w:type="dxa"/>
            <w:gridSpan w:val="3"/>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Isu dalam PGA REDD+</w:t>
            </w:r>
          </w:p>
        </w:tc>
        <w:tc>
          <w:tcPr>
            <w:tcW w:w="5718" w:type="dxa"/>
            <w:gridSpan w:val="4"/>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Wawancara – 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Pengusaha, Organisasi Masyarakat Adat, LSM</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FIIIa1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Jumlah biaya transaksi pengurusan izin pengelolaan hutan </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biaya transaksi pengurusan izin pengelolaan hutan</w:t>
            </w: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Informana tidak jelas standard kesesuaian. Pertanyaan ini tidak bisa ditanyakan ke informan (NA=not applicable)</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tahu</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69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6D627C">
              <w:rPr>
                <w:rFonts w:ascii="Times New Roman" w:eastAsia="Times New Roman" w:hAnsi="Times New Roman" w:cs="Times New Roman"/>
                <w:b/>
                <w:bCs/>
                <w:color w:val="000000"/>
                <w:sz w:val="20"/>
                <w:szCs w:val="20"/>
                <w:lang w:eastAsia="id-ID"/>
              </w:rPr>
              <w:br/>
              <w:t xml:space="preserve">  pemegang ijin</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Peraturan Prosedur Pelaksanaan Pengurusan Izin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lastRenderedPageBreak/>
              <w:t>FIIIb1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Jumlah tahapan dan bentuk persyaratan setiap tahapan dalam pengurusan izin </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Keputusan Kepala Dinas Kehutanan Kabupaten Muba N0 043/Kpts/Dishut/2011 tentang Tatacara izin pemanfaatan kayu bulat/kayu bulat kecil dalam jumlah terbatas dari lahan hak atau lahan masyarakat</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4</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BPN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Dinas Pertanian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3785" w:type="dxa"/>
            <w:gridSpan w:val="3"/>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Isu dalam PGA REDD+</w:t>
            </w:r>
          </w:p>
        </w:tc>
        <w:tc>
          <w:tcPr>
            <w:tcW w:w="5718" w:type="dxa"/>
            <w:gridSpan w:val="4"/>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63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6D627C">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FIVa1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BPN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Dinas Pertanian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FIVb1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Bahan persentasi dinas kehutanan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c. Persentase hutan yang memiliki pengelola (KPH)</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lastRenderedPageBreak/>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Kehutanan &amp; Dinas Kehutanan (Provinsi &amp; Kabupaten)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FIVc1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Persentase hutan yang memiliki pengelola (KPH)</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Bahan persentasi dinas kehutanan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KPH Tidak dapat di temui</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FIVd1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Jumlah pengelolaan hutan berbasis ecological services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KPH Tidak dapat ditemui</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3785" w:type="dxa"/>
            <w:gridSpan w:val="3"/>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Isu dalam PGA REDD+</w:t>
            </w:r>
          </w:p>
        </w:tc>
        <w:tc>
          <w:tcPr>
            <w:tcW w:w="5718" w:type="dxa"/>
            <w:gridSpan w:val="4"/>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Laporan Inspektorat, BPKP &amp; BPK, Bawasda</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FVa1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Jumlah pelanggaran pengguna-an anggaran di tingkat provinsi dan kab/kota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BPK, BAWASDA, INSPEKTORAT</w:t>
            </w:r>
          </w:p>
        </w:tc>
        <w:tc>
          <w:tcPr>
            <w:tcW w:w="2926" w:type="dxa"/>
            <w:gridSpan w:val="2"/>
            <w:tcBorders>
              <w:top w:val="single" w:sz="4" w:space="0" w:color="auto"/>
              <w:left w:val="nil"/>
              <w:bottom w:val="single" w:sz="4" w:space="0" w:color="auto"/>
              <w:right w:val="single" w:sz="4" w:space="0" w:color="000000"/>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Informan</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Kementrian &amp; Dinas Kehutanan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FVb1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Jumlah sanksi administratif serius (pencabutan izin, dan denda, yang telah dijatuhkan)</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Kepolisian (Nasional &amp; Daerah)</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lastRenderedPageBreak/>
              <w:t>FVc1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Jumlah kasus pidana kehutanan yang diajukan/diproses oleh polisi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Polres</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bisa mau diwawancarai</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NA</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58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6D627C">
              <w:rPr>
                <w:rFonts w:ascii="Times New Roman" w:eastAsia="Times New Roman" w:hAnsi="Times New Roman" w:cs="Times New Roman"/>
                <w:b/>
                <w:bCs/>
                <w:color w:val="000000"/>
                <w:sz w:val="20"/>
                <w:szCs w:val="20"/>
                <w:lang w:eastAsia="id-ID"/>
              </w:rPr>
              <w:br/>
              <w:t xml:space="preserve">  diputuskan oleh MA</w:t>
            </w:r>
            <w:r w:rsidRPr="006D627C">
              <w:rPr>
                <w:rFonts w:ascii="Times New Roman" w:eastAsia="Times New Roman" w:hAnsi="Times New Roman" w:cs="Times New Roman"/>
                <w:b/>
                <w:bCs/>
                <w:color w:val="000000"/>
                <w:sz w:val="20"/>
                <w:szCs w:val="20"/>
                <w:lang w:eastAsia="id-ID"/>
              </w:rPr>
              <w:br/>
              <w:t xml:space="preserve">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Kepolisian (Nasional &amp; Daerah)</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5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FVd1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Polres</w:t>
            </w:r>
          </w:p>
        </w:tc>
        <w:tc>
          <w:tcPr>
            <w:tcW w:w="1836"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w:t>
            </w:r>
          </w:p>
        </w:tc>
        <w:tc>
          <w:tcPr>
            <w:tcW w:w="1090"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mau diwawancarai</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NA</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e. Index integritas KPK sektor kehutanan</w:t>
            </w:r>
            <w:r w:rsidRPr="006D627C">
              <w:rPr>
                <w:rFonts w:ascii="Times New Roman" w:eastAsia="Times New Roman" w:hAnsi="Times New Roman" w:cs="Times New Roman"/>
                <w:b/>
                <w:bCs/>
                <w:color w:val="000000"/>
                <w:sz w:val="20"/>
                <w:szCs w:val="20"/>
                <w:lang w:eastAsia="id-ID"/>
              </w:rPr>
              <w:br/>
              <w:t xml:space="preserve">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Hasil Survai KPK tentang Integritas</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FVe1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Index integritas KPK sektor kehutanan</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KPK &amp; TII</w:t>
            </w:r>
          </w:p>
        </w:tc>
        <w:tc>
          <w:tcPr>
            <w:tcW w:w="2926" w:type="dxa"/>
            <w:gridSpan w:val="2"/>
            <w:tcBorders>
              <w:top w:val="single" w:sz="4" w:space="0" w:color="auto"/>
              <w:left w:val="nil"/>
              <w:bottom w:val="single" w:sz="4" w:space="0" w:color="auto"/>
              <w:right w:val="single" w:sz="4" w:space="0" w:color="000000"/>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informan di Kabupaten</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f. Index persepsi korupsi di lokasi assesmen (TII)</w:t>
            </w:r>
            <w:r w:rsidRPr="006D627C">
              <w:rPr>
                <w:rFonts w:ascii="Times New Roman" w:eastAsia="Times New Roman" w:hAnsi="Times New Roman" w:cs="Times New Roman"/>
                <w:b/>
                <w:bCs/>
                <w:color w:val="000000"/>
                <w:sz w:val="20"/>
                <w:szCs w:val="20"/>
                <w:lang w:eastAsia="id-ID"/>
              </w:rPr>
              <w:br/>
            </w:r>
            <w:r w:rsidRPr="006D627C">
              <w:rPr>
                <w:rFonts w:ascii="Times New Roman" w:eastAsia="Times New Roman" w:hAnsi="Times New Roman" w:cs="Times New Roman"/>
                <w:b/>
                <w:bCs/>
                <w:color w:val="000000"/>
                <w:sz w:val="20"/>
                <w:szCs w:val="20"/>
                <w:lang w:eastAsia="id-ID"/>
              </w:rPr>
              <w:br/>
            </w:r>
            <w:r w:rsidRPr="006D627C">
              <w:rPr>
                <w:rFonts w:ascii="Times New Roman" w:eastAsia="Times New Roman" w:hAnsi="Times New Roman" w:cs="Times New Roman"/>
                <w:b/>
                <w:bCs/>
                <w:color w:val="000000"/>
                <w:sz w:val="20"/>
                <w:szCs w:val="20"/>
                <w:lang w:eastAsia="id-ID"/>
              </w:rPr>
              <w:br/>
              <w:t xml:space="preserve">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Hasil Survai Persepsi Transparansi Internasional Indonesia (TII)</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FVf1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Index persepsi korupsi di lokasi assesmen (TII)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KPK &amp; TII</w:t>
            </w:r>
          </w:p>
        </w:tc>
        <w:tc>
          <w:tcPr>
            <w:tcW w:w="2926" w:type="dxa"/>
            <w:gridSpan w:val="2"/>
            <w:tcBorders>
              <w:top w:val="single" w:sz="4" w:space="0" w:color="auto"/>
              <w:left w:val="nil"/>
              <w:bottom w:val="single" w:sz="4" w:space="0" w:color="auto"/>
              <w:right w:val="single" w:sz="4" w:space="0" w:color="000000"/>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informan di Kabupaten</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615"/>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6D627C">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6D627C">
              <w:rPr>
                <w:rFonts w:ascii="Times New Roman" w:eastAsia="Times New Roman" w:hAnsi="Times New Roman" w:cs="Times New Roman"/>
                <w:b/>
                <w:bCs/>
                <w:color w:val="000000"/>
                <w:sz w:val="20"/>
                <w:szCs w:val="20"/>
                <w:lang w:eastAsia="id-ID"/>
              </w:rPr>
              <w:br/>
            </w:r>
            <w:r w:rsidRPr="006D627C">
              <w:rPr>
                <w:rFonts w:ascii="Times New Roman" w:eastAsia="Times New Roman" w:hAnsi="Times New Roman" w:cs="Times New Roman"/>
                <w:b/>
                <w:bCs/>
                <w:color w:val="000000"/>
                <w:sz w:val="20"/>
                <w:szCs w:val="20"/>
                <w:lang w:eastAsia="id-ID"/>
              </w:rPr>
              <w:br/>
            </w:r>
            <w:r w:rsidRPr="006D627C">
              <w:rPr>
                <w:rFonts w:ascii="Times New Roman" w:eastAsia="Times New Roman" w:hAnsi="Times New Roman" w:cs="Times New Roman"/>
                <w:b/>
                <w:bCs/>
                <w:color w:val="000000"/>
                <w:sz w:val="20"/>
                <w:szCs w:val="20"/>
                <w:lang w:eastAsia="id-ID"/>
              </w:rPr>
              <w:lastRenderedPageBreak/>
              <w:br/>
            </w:r>
            <w:r w:rsidRPr="006D627C">
              <w:rPr>
                <w:rFonts w:ascii="Times New Roman" w:eastAsia="Times New Roman" w:hAnsi="Times New Roman" w:cs="Times New Roman"/>
                <w:b/>
                <w:bCs/>
                <w:color w:val="000000"/>
                <w:sz w:val="20"/>
                <w:szCs w:val="20"/>
                <w:lang w:eastAsia="id-ID"/>
              </w:rPr>
              <w:br/>
              <w:t xml:space="preserve">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lastRenderedPageBreak/>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Laporan BPK</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FVg1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BPK, BAWASDA, INSPEKTORAT</w:t>
            </w:r>
          </w:p>
        </w:tc>
        <w:tc>
          <w:tcPr>
            <w:tcW w:w="2926" w:type="dxa"/>
            <w:gridSpan w:val="2"/>
            <w:tcBorders>
              <w:top w:val="single" w:sz="4" w:space="0" w:color="auto"/>
              <w:left w:val="nil"/>
              <w:bottom w:val="single" w:sz="4" w:space="0" w:color="auto"/>
              <w:right w:val="single" w:sz="4" w:space="0" w:color="000000"/>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Informan</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Informan</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NA</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h. Jumlah pengaduan masyarakat tentang kinerja pengelolaan hutan</w:t>
            </w:r>
            <w:r w:rsidRPr="006D627C">
              <w:rPr>
                <w:rFonts w:ascii="Times New Roman" w:eastAsia="Times New Roman" w:hAnsi="Times New Roman" w:cs="Times New Roman"/>
                <w:b/>
                <w:bCs/>
                <w:color w:val="000000"/>
                <w:sz w:val="20"/>
                <w:szCs w:val="20"/>
                <w:lang w:eastAsia="id-ID"/>
              </w:rPr>
              <w:br/>
            </w:r>
            <w:r w:rsidRPr="006D627C">
              <w:rPr>
                <w:rFonts w:ascii="Times New Roman" w:eastAsia="Times New Roman" w:hAnsi="Times New Roman" w:cs="Times New Roman"/>
                <w:b/>
                <w:bCs/>
                <w:color w:val="000000"/>
                <w:sz w:val="20"/>
                <w:szCs w:val="20"/>
                <w:lang w:eastAsia="id-ID"/>
              </w:rPr>
              <w:br/>
            </w:r>
            <w:r w:rsidRPr="006D627C">
              <w:rPr>
                <w:rFonts w:ascii="Times New Roman" w:eastAsia="Times New Roman" w:hAnsi="Times New Roman" w:cs="Times New Roman"/>
                <w:b/>
                <w:bCs/>
                <w:color w:val="000000"/>
                <w:sz w:val="20"/>
                <w:szCs w:val="20"/>
                <w:lang w:eastAsia="id-ID"/>
              </w:rPr>
              <w:br/>
            </w:r>
            <w:r w:rsidRPr="006D627C">
              <w:rPr>
                <w:rFonts w:ascii="Times New Roman" w:eastAsia="Times New Roman" w:hAnsi="Times New Roman" w:cs="Times New Roman"/>
                <w:b/>
                <w:bCs/>
                <w:color w:val="000000"/>
                <w:sz w:val="20"/>
                <w:szCs w:val="20"/>
                <w:lang w:eastAsia="id-ID"/>
              </w:rPr>
              <w:br/>
              <w:t xml:space="preserve"> </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&amp; Dinas Kehutanan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FVh1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r w:rsidRPr="006D627C">
              <w:rPr>
                <w:rFonts w:ascii="Times New Roman" w:eastAsia="Times New Roman" w:hAnsi="Times New Roman" w:cs="Times New Roman"/>
                <w:sz w:val="20"/>
                <w:szCs w:val="20"/>
                <w:lang w:eastAsia="id-ID"/>
              </w:rPr>
              <w:t xml:space="preserve">Jumlah pengaduan masyarakat tentang kinerja pengelolaan hutan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sz w:val="20"/>
                <w:szCs w:val="20"/>
                <w:lang w:eastAsia="id-ID"/>
              </w:rPr>
            </w:pPr>
          </w:p>
        </w:tc>
        <w:tc>
          <w:tcPr>
            <w:tcW w:w="1372"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255"/>
        </w:trPr>
        <w:tc>
          <w:tcPr>
            <w:tcW w:w="3785" w:type="dxa"/>
            <w:gridSpan w:val="3"/>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Isu dalam PGA REDD+</w:t>
            </w:r>
          </w:p>
        </w:tc>
        <w:tc>
          <w:tcPr>
            <w:tcW w:w="5718" w:type="dxa"/>
            <w:gridSpan w:val="4"/>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FVIa1</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112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Satgas REDD+</w:t>
            </w:r>
          </w:p>
        </w:tc>
        <w:tc>
          <w:tcPr>
            <w:tcW w:w="2926" w:type="dxa"/>
            <w:gridSpan w:val="2"/>
            <w:tcBorders>
              <w:top w:val="single" w:sz="4" w:space="0" w:color="auto"/>
              <w:left w:val="nil"/>
              <w:bottom w:val="single" w:sz="4" w:space="0" w:color="auto"/>
              <w:right w:val="single" w:sz="4" w:space="0" w:color="000000"/>
            </w:tcBorders>
            <w:shd w:val="clear" w:color="000000" w:fill="F2DDDC"/>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stagas REDD+ di kabupaten</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informan satgas REDD</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b. Tingkat penerimaan Strategi REDD+ oleh para aktor</w:t>
            </w:r>
            <w:r w:rsidRPr="006D627C">
              <w:rPr>
                <w:rFonts w:ascii="Times New Roman" w:eastAsia="Times New Roman" w:hAnsi="Times New Roman" w:cs="Times New Roman"/>
                <w:b/>
                <w:bCs/>
                <w:color w:val="000000"/>
                <w:sz w:val="20"/>
                <w:szCs w:val="20"/>
                <w:lang w:eastAsia="id-ID"/>
              </w:rPr>
              <w:br/>
            </w:r>
          </w:p>
        </w:tc>
      </w:tr>
      <w:tr w:rsidR="006D627C" w:rsidRPr="006D627C" w:rsidTr="006D627C">
        <w:trPr>
          <w:trHeight w:val="66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lastRenderedPageBreak/>
              <w:t>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264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FVIb1</w:t>
            </w:r>
          </w:p>
        </w:tc>
        <w:tc>
          <w:tcPr>
            <w:tcW w:w="13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Bagaimana penerimaan Strate-gi REDD+ oleh para aktor?</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Laporan Pelaksanaan Dukungan teknis Pengembangan alternatif peningkatan pendapatan Kelompok masyarakat peduli hutan binaan MRPP pada desa-desa di  sekitar kelompok hutran rawa gambut Merang Kepayang.  2. Kesiapan masyarakat REDD kabupaten Muba.</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Menurut informan kehadiran masyarakat local juga harus berpartisipasi dalam keberlanjutan satuan tugas REDD+,  Waktu ada project MRPP yang didanai GTZ ada bentuk pelibatan masyarakat local dan perannya cukup memadai. Hanya berakahirnya projet tersebut masyarakat belum sepenuhnya mampu berperan optimal.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102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Bappeda</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pada REDD sektor kehutanan, bappeda berfungsi sbg koordinator dan sangat mendukung REDD: misalnya program SSFFMP</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5</w:t>
            </w:r>
          </w:p>
        </w:tc>
      </w:tr>
      <w:tr w:rsidR="006D627C" w:rsidRPr="006D627C" w:rsidTr="006D627C">
        <w:trPr>
          <w:trHeight w:val="51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semua actor paham tentang REDD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Dokumen</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mengetahui stategi REDD+</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FVIb2</w:t>
            </w: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Kelembagaan REDD+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Laporan Pelaksanaan Dukungan teknis Pengembangan alternatif peningkatan pendapatan Kelompok masyarakat peduli hutan binaan MRPP pada desa-desa di  sekitar kelompok </w:t>
            </w:r>
            <w:r w:rsidRPr="006D627C">
              <w:rPr>
                <w:rFonts w:ascii="Times New Roman" w:eastAsia="Times New Roman" w:hAnsi="Times New Roman" w:cs="Times New Roman"/>
                <w:color w:val="000000"/>
                <w:sz w:val="20"/>
                <w:szCs w:val="20"/>
                <w:lang w:eastAsia="id-ID"/>
              </w:rPr>
              <w:lastRenderedPageBreak/>
              <w:t>hutran rawa gambut Merang Kepayang.  2. Kesiapan masyarakat REDD kabupaten Muba.</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2</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Informan tidak bisa memberikan penilian karena ukurannya untuk mengtakan memadai itu tidak jelas. Menurut informan sekecil apapun peran masyarakat harus </w:t>
            </w:r>
            <w:r w:rsidRPr="006D627C">
              <w:rPr>
                <w:rFonts w:ascii="Times New Roman" w:eastAsia="Times New Roman" w:hAnsi="Times New Roman" w:cs="Times New Roman"/>
                <w:color w:val="000000"/>
                <w:sz w:val="20"/>
                <w:szCs w:val="20"/>
                <w:lang w:eastAsia="id-ID"/>
              </w:rPr>
              <w:lastRenderedPageBreak/>
              <w:t>diapresiasi. Pertanyaan ini tidak dapat digunakan. NA</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 </w:t>
            </w:r>
          </w:p>
        </w:tc>
      </w:tr>
      <w:tr w:rsidR="006D627C" w:rsidRPr="006D627C" w:rsidTr="006D627C">
        <w:trPr>
          <w:trHeight w:val="51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Bappeda</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msih perlu peningkatan kapasitas lembaga</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1</w:t>
            </w:r>
          </w:p>
        </w:tc>
      </w:tr>
      <w:tr w:rsidR="006D627C" w:rsidRPr="006D627C" w:rsidTr="006D627C">
        <w:trPr>
          <w:trHeight w:val="51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Kelembagaan mungkin sudah cukup memadai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Informan tidak mengetahui stategi REDD+</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FVIb3</w:t>
            </w: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Kerangka Pengaman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Bappeda</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kurang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510"/>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Kelembagaan mungkin sudah cukup memadai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Informan tidak mengetahui </w:t>
            </w:r>
          </w:p>
        </w:tc>
        <w:tc>
          <w:tcPr>
            <w:tcW w:w="1382"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FVIb4</w:t>
            </w: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Apakah (mekanisme) MRV sudah memadai?</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Cukup memadai, laporan terdapat di dinas kehutanan</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Bappeda</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r>
      <w:tr w:rsidR="006D627C" w:rsidRPr="006D627C" w:rsidTr="006D627C">
        <w:trPr>
          <w:trHeight w:val="25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LSM</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Mekanisme MRV tidak paham</w:t>
            </w:r>
          </w:p>
        </w:tc>
        <w:tc>
          <w:tcPr>
            <w:tcW w:w="1382" w:type="dxa"/>
            <w:tcBorders>
              <w:top w:val="nil"/>
              <w:left w:val="nil"/>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2</w:t>
            </w:r>
          </w:p>
        </w:tc>
      </w:tr>
      <w:tr w:rsidR="006D627C" w:rsidRPr="006D627C" w:rsidTr="006D627C">
        <w:trPr>
          <w:trHeight w:val="765"/>
        </w:trPr>
        <w:tc>
          <w:tcPr>
            <w:tcW w:w="714"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72"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699" w:type="dxa"/>
            <w:vMerge/>
            <w:tcBorders>
              <w:top w:val="nil"/>
              <w:left w:val="single" w:sz="4" w:space="0" w:color="auto"/>
              <w:bottom w:val="single" w:sz="4" w:space="0" w:color="auto"/>
              <w:right w:val="single" w:sz="4" w:space="0" w:color="auto"/>
            </w:tcBorders>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Organisasi Masyarakat Adat Lokal</w:t>
            </w:r>
          </w:p>
        </w:tc>
        <w:tc>
          <w:tcPr>
            <w:tcW w:w="1836"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090"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FFFF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Informan tidak mengetahui </w:t>
            </w:r>
          </w:p>
        </w:tc>
        <w:tc>
          <w:tcPr>
            <w:tcW w:w="1382" w:type="dxa"/>
            <w:tcBorders>
              <w:top w:val="nil"/>
              <w:left w:val="nil"/>
              <w:bottom w:val="single" w:sz="4" w:space="0" w:color="auto"/>
              <w:right w:val="single" w:sz="4" w:space="0" w:color="auto"/>
            </w:tcBorders>
            <w:shd w:val="clear" w:color="000000" w:fill="FFFF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c. Tingkat deforestasi di lokasi assesmen</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&amp; Dinas Kehutanan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FVIc1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Tingkat deforestasi di lokasi assesmen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data</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d. Tingkat degradasi hutan di lokasi assesmen</w:t>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&amp; Dinas Kehutanan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FVId1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Tingkat degradasi </w:t>
            </w:r>
            <w:r w:rsidRPr="006D627C">
              <w:rPr>
                <w:rFonts w:ascii="Times New Roman" w:eastAsia="Times New Roman" w:hAnsi="Times New Roman" w:cs="Times New Roman"/>
                <w:color w:val="000000"/>
                <w:sz w:val="20"/>
                <w:szCs w:val="20"/>
                <w:lang w:eastAsia="id-ID"/>
              </w:rPr>
              <w:lastRenderedPageBreak/>
              <w:t xml:space="preserve">hutan di lokasi assesmen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lastRenderedPageBreak/>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Tidak ada data</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r w:rsidR="006D627C" w:rsidRPr="006D627C" w:rsidTr="006D627C">
        <w:trPr>
          <w:trHeight w:val="255"/>
        </w:trPr>
        <w:tc>
          <w:tcPr>
            <w:tcW w:w="71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37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836"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090"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p>
        </w:tc>
      </w:tr>
      <w:tr w:rsidR="006D627C" w:rsidRPr="006D627C" w:rsidTr="006D627C">
        <w:trPr>
          <w:trHeight w:val="6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Indikator</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p>
        </w:tc>
        <w:tc>
          <w:tcPr>
            <w:tcW w:w="7100" w:type="dxa"/>
            <w:gridSpan w:val="5"/>
            <w:tcBorders>
              <w:top w:val="nil"/>
              <w:left w:val="nil"/>
              <w:bottom w:val="nil"/>
              <w:right w:val="nil"/>
            </w:tcBorders>
            <w:shd w:val="clear" w:color="auto" w:fill="auto"/>
            <w:vAlign w:val="center"/>
            <w:hideMark/>
          </w:tcPr>
          <w:p w:rsidR="006D627C" w:rsidRPr="006D627C" w:rsidRDefault="006D627C" w:rsidP="006D627C">
            <w:pPr>
              <w:spacing w:after="24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6D627C">
              <w:rPr>
                <w:rFonts w:ascii="Times New Roman" w:eastAsia="Times New Roman" w:hAnsi="Times New Roman" w:cs="Times New Roman"/>
                <w:b/>
                <w:bCs/>
                <w:color w:val="000000"/>
                <w:sz w:val="20"/>
                <w:szCs w:val="20"/>
                <w:lang w:eastAsia="id-ID"/>
              </w:rPr>
              <w:br/>
              <w:t xml:space="preserve">  REDD+ (demonstration ativities)</w:t>
            </w:r>
            <w:r w:rsidRPr="006D627C">
              <w:rPr>
                <w:rFonts w:ascii="Times New Roman" w:eastAsia="Times New Roman" w:hAnsi="Times New Roman" w:cs="Times New Roman"/>
                <w:b/>
                <w:bCs/>
                <w:color w:val="000000"/>
                <w:sz w:val="20"/>
                <w:szCs w:val="20"/>
                <w:lang w:eastAsia="id-ID"/>
              </w:rPr>
              <w:br/>
            </w:r>
          </w:p>
        </w:tc>
      </w:tr>
      <w:tr w:rsidR="006D627C" w:rsidRPr="006D627C" w:rsidTr="006D627C">
        <w:trPr>
          <w:trHeight w:val="300"/>
        </w:trPr>
        <w:tc>
          <w:tcPr>
            <w:tcW w:w="2086" w:type="dxa"/>
            <w:gridSpan w:val="2"/>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informasi</w:t>
            </w:r>
          </w:p>
        </w:tc>
        <w:tc>
          <w:tcPr>
            <w:tcW w:w="1699" w:type="dxa"/>
            <w:tcBorders>
              <w:top w:val="nil"/>
              <w:left w:val="nil"/>
              <w:bottom w:val="nil"/>
              <w:right w:val="nil"/>
            </w:tcBorders>
            <w:shd w:val="clear" w:color="auto" w:fill="auto"/>
            <w:noWrap/>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p>
        </w:tc>
        <w:tc>
          <w:tcPr>
            <w:tcW w:w="7100" w:type="dxa"/>
            <w:gridSpan w:val="5"/>
            <w:tcBorders>
              <w:top w:val="nil"/>
              <w:left w:val="nil"/>
              <w:bottom w:val="single" w:sz="4" w:space="0" w:color="auto"/>
              <w:right w:val="nil"/>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 Kementerian &amp; Dinas Kehutanan</w:t>
            </w:r>
          </w:p>
        </w:tc>
      </w:tr>
      <w:tr w:rsidR="006D627C" w:rsidRPr="006D627C" w:rsidTr="006D62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Kode</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Panduan Analisis Dokumen</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Sumber Data</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Dokumen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b/>
                <w:bCs/>
                <w:color w:val="000000"/>
                <w:sz w:val="20"/>
                <w:szCs w:val="20"/>
                <w:lang w:eastAsia="id-ID"/>
              </w:rPr>
            </w:pPr>
            <w:r w:rsidRPr="006D627C">
              <w:rPr>
                <w:rFonts w:ascii="Times New Roman" w:eastAsia="Times New Roman" w:hAnsi="Times New Roman" w:cs="Times New Roman"/>
                <w:b/>
                <w:bCs/>
                <w:color w:val="000000"/>
                <w:sz w:val="20"/>
                <w:szCs w:val="20"/>
                <w:lang w:eastAsia="id-ID"/>
              </w:rPr>
              <w:t>Kategori Data Wawancara</w:t>
            </w:r>
          </w:p>
        </w:tc>
      </w:tr>
      <w:tr w:rsidR="006D627C" w:rsidRPr="006D627C" w:rsidTr="006D627C">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FVIe1</w:t>
            </w:r>
          </w:p>
        </w:tc>
        <w:tc>
          <w:tcPr>
            <w:tcW w:w="1372"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699"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188"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Kehutanan</w:t>
            </w:r>
          </w:p>
        </w:tc>
        <w:tc>
          <w:tcPr>
            <w:tcW w:w="1836"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Bahan persentasi dinas kehutanan</w:t>
            </w:r>
          </w:p>
        </w:tc>
        <w:tc>
          <w:tcPr>
            <w:tcW w:w="1090" w:type="dxa"/>
            <w:tcBorders>
              <w:top w:val="nil"/>
              <w:left w:val="nil"/>
              <w:bottom w:val="single" w:sz="4" w:space="0" w:color="auto"/>
              <w:right w:val="single" w:sz="4" w:space="0" w:color="auto"/>
            </w:tcBorders>
            <w:shd w:val="clear" w:color="auto" w:fill="auto"/>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3</w:t>
            </w:r>
          </w:p>
        </w:tc>
        <w:tc>
          <w:tcPr>
            <w:tcW w:w="1604" w:type="dxa"/>
            <w:tcBorders>
              <w:top w:val="nil"/>
              <w:left w:val="nil"/>
              <w:bottom w:val="single" w:sz="4" w:space="0" w:color="auto"/>
              <w:right w:val="single" w:sz="4" w:space="0" w:color="auto"/>
            </w:tcBorders>
            <w:shd w:val="clear" w:color="000000" w:fill="000000"/>
            <w:vAlign w:val="center"/>
            <w:hideMark/>
          </w:tcPr>
          <w:p w:rsidR="006D627C" w:rsidRPr="006D627C" w:rsidRDefault="006D627C" w:rsidP="006D627C">
            <w:pPr>
              <w:spacing w:after="0" w:line="240" w:lineRule="auto"/>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6D627C" w:rsidRPr="006D627C" w:rsidRDefault="006D627C" w:rsidP="006D627C">
            <w:pPr>
              <w:spacing w:after="0" w:line="240" w:lineRule="auto"/>
              <w:jc w:val="center"/>
              <w:rPr>
                <w:rFonts w:ascii="Times New Roman" w:eastAsia="Times New Roman" w:hAnsi="Times New Roman" w:cs="Times New Roman"/>
                <w:color w:val="000000"/>
                <w:sz w:val="20"/>
                <w:szCs w:val="20"/>
                <w:lang w:eastAsia="id-ID"/>
              </w:rPr>
            </w:pPr>
            <w:r w:rsidRPr="006D627C">
              <w:rPr>
                <w:rFonts w:ascii="Times New Roman" w:eastAsia="Times New Roman" w:hAnsi="Times New Roman" w:cs="Times New Roman"/>
                <w:color w:val="000000"/>
                <w:sz w:val="20"/>
                <w:szCs w:val="20"/>
                <w:lang w:eastAsia="id-ID"/>
              </w:rPr>
              <w:t> </w:t>
            </w:r>
          </w:p>
        </w:tc>
      </w:tr>
    </w:tbl>
    <w:p w:rsidR="006D627C" w:rsidRDefault="006D627C"/>
    <w:sectPr w:rsidR="006D627C"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B1DFB"/>
    <w:rsid w:val="0026067C"/>
    <w:rsid w:val="00265D91"/>
    <w:rsid w:val="004165D1"/>
    <w:rsid w:val="004570C7"/>
    <w:rsid w:val="005D2D3D"/>
    <w:rsid w:val="006D627C"/>
    <w:rsid w:val="006E5970"/>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6D627C"/>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6D627C"/>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22942220">
      <w:bodyDiv w:val="1"/>
      <w:marLeft w:val="0"/>
      <w:marRight w:val="0"/>
      <w:marTop w:val="0"/>
      <w:marBottom w:val="0"/>
      <w:divBdr>
        <w:top w:val="none" w:sz="0" w:space="0" w:color="auto"/>
        <w:left w:val="none" w:sz="0" w:space="0" w:color="auto"/>
        <w:bottom w:val="none" w:sz="0" w:space="0" w:color="auto"/>
        <w:right w:val="none" w:sz="0" w:space="0" w:color="auto"/>
      </w:divBdr>
    </w:div>
    <w:div w:id="226843117">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16</Pages>
  <Words>3922</Words>
  <Characters>22357</Characters>
  <Application>Microsoft Office Word</Application>
  <DocSecurity>0</DocSecurity>
  <Lines>186</Lines>
  <Paragraphs>52</Paragraphs>
  <ScaleCrop>false</ScaleCrop>
  <Company/>
  <LinksUpToDate>false</LinksUpToDate>
  <CharactersWithSpaces>26227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2012-10-16T07:00:00Z</dcterms:modified>
</cp:coreProperties>
</file>